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rFonts w:ascii="Arial" w:cs="Arial" w:eastAsia="Arial" w:hAnsi="Arial"/>
          <w:b w:val="1"/>
          <w:color w:val="555555"/>
          <w:sz w:val="28"/>
          <w:szCs w:val="28"/>
          <w:highlight w:val="white"/>
        </w:rPr>
      </w:pPr>
      <w:r w:rsidDel="00000000" w:rsidR="00000000" w:rsidRPr="00000000">
        <w:rPr>
          <w:rtl w:val="0"/>
        </w:rPr>
      </w:r>
    </w:p>
    <w:p w:rsidR="00000000" w:rsidDel="00000000" w:rsidP="00000000" w:rsidRDefault="00000000" w:rsidRPr="00000000" w14:paraId="00000002">
      <w:pPr>
        <w:spacing w:after="120" w:line="240" w:lineRule="auto"/>
        <w:jc w:val="center"/>
        <w:rPr>
          <w:rFonts w:ascii="Arial" w:cs="Arial" w:eastAsia="Arial" w:hAnsi="Arial"/>
          <w:b w:val="1"/>
          <w:color w:val="404040"/>
          <w:sz w:val="28"/>
          <w:szCs w:val="28"/>
          <w:highlight w:val="white"/>
        </w:rPr>
      </w:pPr>
      <w:r w:rsidDel="00000000" w:rsidR="00000000" w:rsidRPr="00000000">
        <w:rPr>
          <w:rFonts w:ascii="Arial" w:cs="Arial" w:eastAsia="Arial" w:hAnsi="Arial"/>
          <w:b w:val="1"/>
          <w:color w:val="404040"/>
          <w:sz w:val="28"/>
          <w:szCs w:val="28"/>
          <w:highlight w:val="white"/>
          <w:rtl w:val="0"/>
        </w:rPr>
        <w:t xml:space="preserve">Comunicado de Prensa</w:t>
      </w:r>
    </w:p>
    <w:p w:rsidR="00000000" w:rsidDel="00000000" w:rsidP="00000000" w:rsidRDefault="00000000" w:rsidRPr="00000000" w14:paraId="00000003">
      <w:pPr>
        <w:spacing w:after="120" w:line="240" w:lineRule="auto"/>
        <w:jc w:val="both"/>
        <w:rPr>
          <w:rFonts w:ascii="Arial" w:cs="Arial" w:eastAsia="Arial" w:hAnsi="Arial"/>
          <w:b w:val="1"/>
          <w:color w:val="404040"/>
          <w:sz w:val="28"/>
          <w:szCs w:val="28"/>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Banca Afirme y la tecnológica Clara establecen alianza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sz w:val="32"/>
          <w:szCs w:val="32"/>
          <w:rtl w:val="0"/>
        </w:rPr>
        <w:t xml:space="preserve">estratégica para ofrecer financiamiento a largo plazo</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b w:val="1"/>
          <w:i w:val="1"/>
          <w:color w:val="000000"/>
          <w:sz w:val="14"/>
          <w:szCs w:val="14"/>
        </w:rPr>
      </w:pPr>
      <w:bookmarkStart w:colFirst="0" w:colLast="0" w:name="_heading=h.1fob9te" w:id="0"/>
      <w:bookmarkEnd w:id="0"/>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360" w:lineRule="auto"/>
        <w:ind w:left="1440" w:hanging="360"/>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Créditos de hasta 15 millones de pesos en plazos de hasta 5 años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360" w:lineRule="auto"/>
        <w:ind w:left="1440" w:hanging="360"/>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Se estima apoyar a más de 200 empresas en 2023</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360" w:lineRule="auto"/>
        <w:ind w:left="1440" w:hanging="360"/>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La derrama de crédito será de 1,000 millones de pesos en 2023</w:t>
      </w:r>
    </w:p>
    <w:p w:rsidR="00000000" w:rsidDel="00000000" w:rsidP="00000000" w:rsidRDefault="00000000" w:rsidRPr="00000000" w14:paraId="0000000A">
      <w:pPr>
        <w:spacing w:after="120" w:before="280" w:line="360" w:lineRule="auto"/>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b w:val="1"/>
          <w:i w:val="1"/>
          <w:rtl w:val="0"/>
        </w:rPr>
        <w:t xml:space="preserve">Monterrey, N. L., 10 de abril de 2023.-</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rtl w:val="0"/>
        </w:rPr>
        <w:t xml:space="preserve">Banca Afirme</w:t>
      </w:r>
      <w:r w:rsidDel="00000000" w:rsidR="00000000" w:rsidRPr="00000000">
        <w:rPr>
          <w:rFonts w:ascii="Arial" w:cs="Arial" w:eastAsia="Arial" w:hAnsi="Arial"/>
          <w:rtl w:val="0"/>
        </w:rPr>
        <w:t xml:space="preserve"> anunció una alianza con </w:t>
      </w:r>
      <w:hyperlink r:id="rId7">
        <w:r w:rsidDel="00000000" w:rsidR="00000000" w:rsidRPr="00000000">
          <w:rPr>
            <w:rFonts w:ascii="Arial" w:cs="Arial" w:eastAsia="Arial" w:hAnsi="Arial"/>
            <w:b w:val="1"/>
            <w:color w:val="1155cc"/>
            <w:u w:val="single"/>
            <w:rtl w:val="0"/>
          </w:rPr>
          <w:t xml:space="preserve">Clara</w:t>
        </w:r>
      </w:hyperlink>
      <w:r w:rsidDel="00000000" w:rsidR="00000000" w:rsidRPr="00000000">
        <w:rPr>
          <w:rFonts w:ascii="Arial" w:cs="Arial" w:eastAsia="Arial" w:hAnsi="Arial"/>
          <w:rtl w:val="0"/>
        </w:rPr>
        <w:t xml:space="preserve">, plataforma digital </w:t>
      </w:r>
      <w:r w:rsidDel="00000000" w:rsidR="00000000" w:rsidRPr="00000000">
        <w:rPr>
          <w:rFonts w:ascii="Arial" w:cs="Arial" w:eastAsia="Arial" w:hAnsi="Arial"/>
          <w:b w:val="1"/>
          <w:rtl w:val="0"/>
        </w:rPr>
        <w:t xml:space="preserve">para la gestión de gastos corporativos para empresas en Latinoamérica.</w:t>
      </w:r>
      <w:r w:rsidDel="00000000" w:rsidR="00000000" w:rsidRPr="00000000">
        <w:rPr>
          <w:rFonts w:ascii="Arial" w:cs="Arial" w:eastAsia="Arial" w:hAnsi="Arial"/>
          <w:rtl w:val="0"/>
        </w:rPr>
        <w:t xml:space="preserve"> Ambas instituciones participan activamente brindando soluciones a todo tipo de empresas, con productos innovadores y altamente competitivos en el mercado.</w:t>
      </w:r>
    </w:p>
    <w:p w:rsidR="00000000" w:rsidDel="00000000" w:rsidP="00000000" w:rsidRDefault="00000000" w:rsidRPr="00000000" w14:paraId="0000000B">
      <w:pPr>
        <w:spacing w:after="120" w:before="280" w:line="360" w:lineRule="auto"/>
        <w:jc w:val="both"/>
        <w:rPr>
          <w:rFonts w:ascii="Arial" w:cs="Arial" w:eastAsia="Arial" w:hAnsi="Arial"/>
          <w:b w:val="1"/>
        </w:rPr>
      </w:pPr>
      <w:r w:rsidDel="00000000" w:rsidR="00000000" w:rsidRPr="00000000">
        <w:rPr>
          <w:rFonts w:ascii="Arial" w:cs="Arial" w:eastAsia="Arial" w:hAnsi="Arial"/>
          <w:rtl w:val="0"/>
        </w:rPr>
        <w:t xml:space="preserve">“Debido a su gran crecimiento y potencial, se establece esta alianza, donde Clara, con el conocimiento de su cartera, nos abre la puerta a contactar con clientes potenciales para nuestra institución”, señaló </w:t>
      </w:r>
      <w:r w:rsidDel="00000000" w:rsidR="00000000" w:rsidRPr="00000000">
        <w:rPr>
          <w:rFonts w:ascii="Arial" w:cs="Arial" w:eastAsia="Arial" w:hAnsi="Arial"/>
          <w:b w:val="1"/>
          <w:rtl w:val="0"/>
        </w:rPr>
        <w:t xml:space="preserve">Jorge Eduardo Vázquez García, Director de Alianzas de Afirme Grupo Financiero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C">
      <w:pPr>
        <w:spacing w:after="120" w:before="280" w:line="360" w:lineRule="auto"/>
        <w:jc w:val="both"/>
        <w:rPr>
          <w:rFonts w:ascii="Arial" w:cs="Arial" w:eastAsia="Arial" w:hAnsi="Arial"/>
        </w:rPr>
      </w:pPr>
      <w:r w:rsidDel="00000000" w:rsidR="00000000" w:rsidRPr="00000000">
        <w:rPr>
          <w:rFonts w:ascii="Arial" w:cs="Arial" w:eastAsia="Arial" w:hAnsi="Arial"/>
          <w:rtl w:val="0"/>
        </w:rPr>
        <w:t xml:space="preserve">Añadió que Clara se une como socio comercial y tecnológico para proveer a Banca Afirme la relación con futuros clientes de créditos en su fase de promoción, lo cual va alineado también a la estrategia de desarrollo en el segmento empresarial de Afirme.</w:t>
      </w:r>
    </w:p>
    <w:p w:rsidR="00000000" w:rsidDel="00000000" w:rsidP="00000000" w:rsidRDefault="00000000" w:rsidRPr="00000000" w14:paraId="0000000D">
      <w:pPr>
        <w:spacing w:after="120" w:before="280" w:line="360" w:lineRule="auto"/>
        <w:jc w:val="both"/>
        <w:rPr>
          <w:rFonts w:ascii="Arial" w:cs="Arial" w:eastAsia="Arial" w:hAnsi="Arial"/>
        </w:rPr>
      </w:pPr>
      <w:bookmarkStart w:colFirst="0" w:colLast="0" w:name="_heading=h.gjdgxs" w:id="2"/>
      <w:bookmarkEnd w:id="2"/>
      <w:r w:rsidDel="00000000" w:rsidR="00000000" w:rsidRPr="00000000">
        <w:rPr>
          <w:rFonts w:ascii="Arial" w:cs="Arial" w:eastAsia="Arial" w:hAnsi="Arial"/>
          <w:rtl w:val="0"/>
        </w:rPr>
        <w:t xml:space="preserve">Asimismo, </w:t>
      </w:r>
      <w:r w:rsidDel="00000000" w:rsidR="00000000" w:rsidRPr="00000000">
        <w:rPr>
          <w:rFonts w:ascii="Arial" w:cs="Arial" w:eastAsia="Arial" w:hAnsi="Arial"/>
          <w:b w:val="1"/>
          <w:rtl w:val="0"/>
        </w:rPr>
        <w:t xml:space="preserve">José Carlos Martínez González, Director de Banca Pyme de Afirme</w:t>
      </w:r>
      <w:r w:rsidDel="00000000" w:rsidR="00000000" w:rsidRPr="00000000">
        <w:rPr>
          <w:rFonts w:ascii="Arial" w:cs="Arial" w:eastAsia="Arial" w:hAnsi="Arial"/>
          <w:rtl w:val="0"/>
        </w:rPr>
        <w:t xml:space="preserve">, detalló que, mediante esta alianza, Afirme pone a disposición de los clientes de Clara líneas de crédito </w:t>
      </w:r>
      <w:r w:rsidDel="00000000" w:rsidR="00000000" w:rsidRPr="00000000">
        <w:rPr>
          <w:rFonts w:ascii="Arial" w:cs="Arial" w:eastAsia="Arial" w:hAnsi="Arial"/>
          <w:b w:val="1"/>
          <w:rtl w:val="0"/>
        </w:rPr>
        <w:t xml:space="preserve">hasta 15 millones de pesos, con plazos de hasta cinco años; </w:t>
      </w:r>
      <w:r w:rsidDel="00000000" w:rsidR="00000000" w:rsidRPr="00000000">
        <w:rPr>
          <w:rFonts w:ascii="Arial" w:cs="Arial" w:eastAsia="Arial" w:hAnsi="Arial"/>
          <w:rtl w:val="0"/>
        </w:rPr>
        <w:t xml:space="preserve">esto, de manera complementaria a los productos de tarjeta de crédito y administración de gastos que ofrece Clara hoy en día a sus clientes; </w:t>
      </w:r>
      <w:r w:rsidDel="00000000" w:rsidR="00000000" w:rsidRPr="00000000">
        <w:rPr>
          <w:rFonts w:ascii="Arial" w:cs="Arial" w:eastAsia="Arial" w:hAnsi="Arial"/>
          <w:b w:val="1"/>
          <w:rtl w:val="0"/>
        </w:rPr>
        <w:t xml:space="preserve">estimando apoyar este año a más de 200 empresas, con una derrama de crédito de mil millones de pesos. </w:t>
      </w:r>
      <w:r w:rsidDel="00000000" w:rsidR="00000000" w:rsidRPr="00000000">
        <w:rPr>
          <w:rFonts w:ascii="Arial" w:cs="Arial" w:eastAsia="Arial" w:hAnsi="Arial"/>
          <w:rtl w:val="0"/>
        </w:rPr>
        <w:t xml:space="preserve">Agregó que “este modelo de negocio permite acceder a un mayor número de clientes potenciales, en menor tiempo; aprovechando la tecnología de Clara, lo que les facilitará alcanzar los objetivos de la institución”.</w:t>
      </w:r>
    </w:p>
    <w:p w:rsidR="00000000" w:rsidDel="00000000" w:rsidP="00000000" w:rsidRDefault="00000000" w:rsidRPr="00000000" w14:paraId="0000000E">
      <w:pPr>
        <w:spacing w:after="120" w:before="280" w:line="360" w:lineRule="auto"/>
        <w:jc w:val="both"/>
        <w:rPr>
          <w:rFonts w:ascii="Arial" w:cs="Arial" w:eastAsia="Arial" w:hAnsi="Arial"/>
        </w:rPr>
      </w:pPr>
      <w:r w:rsidDel="00000000" w:rsidR="00000000" w:rsidRPr="00000000">
        <w:rPr>
          <w:rFonts w:ascii="Arial" w:cs="Arial" w:eastAsia="Arial" w:hAnsi="Arial"/>
          <w:rtl w:val="0"/>
        </w:rPr>
        <w:t xml:space="preserve">Por otra parte,</w:t>
      </w:r>
      <w:r w:rsidDel="00000000" w:rsidR="00000000" w:rsidRPr="00000000">
        <w:rPr>
          <w:rFonts w:ascii="Arial" w:cs="Arial" w:eastAsia="Arial" w:hAnsi="Arial"/>
          <w:b w:val="1"/>
          <w:rtl w:val="0"/>
        </w:rPr>
        <w:t xml:space="preserve"> Amando Villalobos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Director de Alianzas Estratégicas en Clara</w:t>
      </w:r>
      <w:r w:rsidDel="00000000" w:rsidR="00000000" w:rsidRPr="00000000">
        <w:rPr>
          <w:rFonts w:ascii="Arial" w:cs="Arial" w:eastAsia="Arial" w:hAnsi="Arial"/>
          <w:rtl w:val="0"/>
        </w:rPr>
        <w:t xml:space="preserve">, aseguró que “nos entusiasma formar este tipo de sinergias, sobre todo con una institución como Afirme, pues nos permite ampliar la oferta de financiamiento a nuestros clientes para atender las necesidades de sus negocios. Desde Clara reforzamos nuestro compromiso por seguir llevando, no solo la mejor solución de gasto corporativo para empresas en Latinoamérica, sino también las mejores alternativas de financiamiento de la mano de los mejores socios en México y la región”. </w:t>
      </w:r>
    </w:p>
    <w:p w:rsidR="00000000" w:rsidDel="00000000" w:rsidP="00000000" w:rsidRDefault="00000000" w:rsidRPr="00000000" w14:paraId="0000000F">
      <w:pPr>
        <w:spacing w:after="120" w:before="280" w:line="360" w:lineRule="auto"/>
        <w:jc w:val="both"/>
        <w:rPr>
          <w:rFonts w:ascii="Arial" w:cs="Arial" w:eastAsia="Arial" w:hAnsi="Arial"/>
        </w:rPr>
      </w:pPr>
      <w:r w:rsidDel="00000000" w:rsidR="00000000" w:rsidRPr="00000000">
        <w:rPr>
          <w:rFonts w:ascii="Arial" w:cs="Arial" w:eastAsia="Arial" w:hAnsi="Arial"/>
          <w:rtl w:val="0"/>
        </w:rPr>
        <w:t xml:space="preserve">Por su parte, </w:t>
      </w:r>
      <w:r w:rsidDel="00000000" w:rsidR="00000000" w:rsidRPr="00000000">
        <w:rPr>
          <w:rFonts w:ascii="Arial" w:cs="Arial" w:eastAsia="Arial" w:hAnsi="Arial"/>
          <w:b w:val="1"/>
          <w:rtl w:val="0"/>
        </w:rPr>
        <w:t xml:space="preserve">Youmna Harb, Country Manager de Clara en México,</w:t>
      </w:r>
      <w:r w:rsidDel="00000000" w:rsidR="00000000" w:rsidRPr="00000000">
        <w:rPr>
          <w:rFonts w:ascii="Arial" w:cs="Arial" w:eastAsia="Arial" w:hAnsi="Arial"/>
          <w:rtl w:val="0"/>
        </w:rPr>
        <w:t xml:space="preserve"> señaló que, a través de esta alianza, Clara continúa consolidando su portafolio de productos en el país; y enfatizó la importancia de fortalecer el ecosistema empresarial a través de este tipo de acciones en beneficio de las empresas.</w:t>
      </w:r>
    </w:p>
    <w:p w:rsidR="00000000" w:rsidDel="00000000" w:rsidP="00000000" w:rsidRDefault="00000000" w:rsidRPr="00000000" w14:paraId="00000010">
      <w:pPr>
        <w:spacing w:after="120" w:line="240" w:lineRule="auto"/>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1">
      <w:pPr>
        <w:spacing w:after="120" w:line="240" w:lineRule="auto"/>
        <w:jc w:val="both"/>
        <w:rPr>
          <w:rFonts w:ascii="Arial" w:cs="Arial" w:eastAsia="Arial" w:hAnsi="Arial"/>
          <w:b w:val="1"/>
          <w:color w:val="373737"/>
          <w:sz w:val="16"/>
          <w:szCs w:val="16"/>
          <w:highlight w:val="white"/>
        </w:rPr>
      </w:pPr>
      <w:r w:rsidDel="00000000" w:rsidR="00000000" w:rsidRPr="00000000">
        <w:rPr>
          <w:rFonts w:ascii="Arial" w:cs="Arial" w:eastAsia="Arial" w:hAnsi="Arial"/>
          <w:b w:val="1"/>
          <w:sz w:val="16"/>
          <w:szCs w:val="16"/>
          <w:rtl w:val="0"/>
        </w:rPr>
        <w:t xml:space="preserve">Afirme Grupo Financiero </w:t>
      </w:r>
      <w:r w:rsidDel="00000000" w:rsidR="00000000" w:rsidRPr="00000000">
        <w:rPr>
          <w:rFonts w:ascii="Arial" w:cs="Arial" w:eastAsia="Arial" w:hAnsi="Arial"/>
          <w:sz w:val="16"/>
          <w:szCs w:val="16"/>
          <w:rtl w:val="0"/>
        </w:rPr>
        <w:t xml:space="preserve">integra servicios bancarios y financieros a través de filiales, como: </w:t>
      </w:r>
      <w:r w:rsidDel="00000000" w:rsidR="00000000" w:rsidRPr="00000000">
        <w:rPr>
          <w:rFonts w:ascii="Arial" w:cs="Arial" w:eastAsia="Arial" w:hAnsi="Arial"/>
          <w:b w:val="1"/>
          <w:sz w:val="16"/>
          <w:szCs w:val="16"/>
          <w:rtl w:val="0"/>
        </w:rPr>
        <w:t xml:space="preserve">Afirme Banco</w:t>
      </w:r>
      <w:r w:rsidDel="00000000" w:rsidR="00000000" w:rsidRPr="00000000">
        <w:rPr>
          <w:rFonts w:ascii="Arial" w:cs="Arial" w:eastAsia="Arial" w:hAnsi="Arial"/>
          <w:sz w:val="16"/>
          <w:szCs w:val="16"/>
          <w:rtl w:val="0"/>
        </w:rPr>
        <w:t xml:space="preserve">, en 26 estados de la República Mexicana y una importante red de Cajeros Automáticos; </w:t>
      </w:r>
      <w:r w:rsidDel="00000000" w:rsidR="00000000" w:rsidRPr="00000000">
        <w:rPr>
          <w:rFonts w:ascii="Arial" w:cs="Arial" w:eastAsia="Arial" w:hAnsi="Arial"/>
          <w:b w:val="1"/>
          <w:sz w:val="16"/>
          <w:szCs w:val="16"/>
          <w:rtl w:val="0"/>
        </w:rPr>
        <w:t xml:space="preserve">Afirme Seguros</w:t>
      </w:r>
      <w:r w:rsidDel="00000000" w:rsidR="00000000" w:rsidRPr="00000000">
        <w:rPr>
          <w:rFonts w:ascii="Arial" w:cs="Arial" w:eastAsia="Arial" w:hAnsi="Arial"/>
          <w:sz w:val="16"/>
          <w:szCs w:val="16"/>
          <w:rtl w:val="0"/>
        </w:rPr>
        <w:t xml:space="preserve">, que</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brinda seguridad personal y patrimonial a personas físicas (seguros de auto, casa, vida y vida módulos) y empresas (seguros de vida flotillas de autos, empresarial); </w:t>
      </w:r>
      <w:r w:rsidDel="00000000" w:rsidR="00000000" w:rsidRPr="00000000">
        <w:rPr>
          <w:rFonts w:ascii="Arial" w:cs="Arial" w:eastAsia="Arial" w:hAnsi="Arial"/>
          <w:b w:val="1"/>
          <w:sz w:val="16"/>
          <w:szCs w:val="16"/>
          <w:rtl w:val="0"/>
        </w:rPr>
        <w:t xml:space="preserve">Afirme Arrendadora</w:t>
      </w:r>
      <w:r w:rsidDel="00000000" w:rsidR="00000000" w:rsidRPr="00000000">
        <w:rPr>
          <w:rFonts w:ascii="Arial" w:cs="Arial" w:eastAsia="Arial" w:hAnsi="Arial"/>
          <w:sz w:val="16"/>
          <w:szCs w:val="16"/>
          <w:rtl w:val="0"/>
        </w:rPr>
        <w:t xml:space="preserve">, como fuente de financiamiento para personas físicas y empresas, en la compra de activos fijos nacionales o importados; </w:t>
      </w:r>
      <w:r w:rsidDel="00000000" w:rsidR="00000000" w:rsidRPr="00000000">
        <w:rPr>
          <w:rFonts w:ascii="Arial" w:cs="Arial" w:eastAsia="Arial" w:hAnsi="Arial"/>
          <w:b w:val="1"/>
          <w:sz w:val="16"/>
          <w:szCs w:val="16"/>
          <w:rtl w:val="0"/>
        </w:rPr>
        <w:t xml:space="preserve">Afirme Factoraje</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para apoyar a nuestros clientes en una rápida conversión de sus cuentas por cobrar, y financiamiento de capital de trabajo a corto plazo; </w:t>
      </w:r>
      <w:r w:rsidDel="00000000" w:rsidR="00000000" w:rsidRPr="00000000">
        <w:rPr>
          <w:rFonts w:ascii="Arial" w:cs="Arial" w:eastAsia="Arial" w:hAnsi="Arial"/>
          <w:b w:val="1"/>
          <w:sz w:val="16"/>
          <w:szCs w:val="16"/>
          <w:rtl w:val="0"/>
        </w:rPr>
        <w:t xml:space="preserve">Afirme Almacenadora</w:t>
      </w:r>
      <w:r w:rsidDel="00000000" w:rsidR="00000000" w:rsidRPr="00000000">
        <w:rPr>
          <w:rFonts w:ascii="Arial" w:cs="Arial" w:eastAsia="Arial" w:hAnsi="Arial"/>
          <w:sz w:val="16"/>
          <w:szCs w:val="16"/>
          <w:rtl w:val="0"/>
        </w:rPr>
        <w:t xml:space="preserve">, con modernas instalaciones y ubicación estratégica para ofrecer a empresas y personas físicas servicios de almacenamiento, custodia o conservación de mercancías nacionales o extranjeras; </w:t>
      </w:r>
      <w:r w:rsidDel="00000000" w:rsidR="00000000" w:rsidRPr="00000000">
        <w:rPr>
          <w:rFonts w:ascii="Arial" w:cs="Arial" w:eastAsia="Arial" w:hAnsi="Arial"/>
          <w:b w:val="1"/>
          <w:sz w:val="16"/>
          <w:szCs w:val="16"/>
          <w:rtl w:val="0"/>
        </w:rPr>
        <w:t xml:space="preserve">Fondos de Inversión</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con una oferta que integra una amplia gama de productos que permiten tener acceso a diversos mercados financieros; </w:t>
      </w:r>
      <w:r w:rsidDel="00000000" w:rsidR="00000000" w:rsidRPr="00000000">
        <w:rPr>
          <w:rFonts w:ascii="Arial" w:cs="Arial" w:eastAsia="Arial" w:hAnsi="Arial"/>
          <w:b w:val="1"/>
          <w:sz w:val="16"/>
          <w:szCs w:val="16"/>
          <w:rtl w:val="0"/>
        </w:rPr>
        <w:t xml:space="preserve">Microfinanciera</w:t>
      </w:r>
      <w:r w:rsidDel="00000000" w:rsidR="00000000" w:rsidRPr="00000000">
        <w:rPr>
          <w:rFonts w:ascii="Arial" w:cs="Arial" w:eastAsia="Arial" w:hAnsi="Arial"/>
          <w:sz w:val="16"/>
          <w:szCs w:val="16"/>
          <w:rtl w:val="0"/>
        </w:rPr>
        <w:t xml:space="preserve">, con una variada oferta de créditos al consumo; y </w:t>
      </w:r>
      <w:r w:rsidDel="00000000" w:rsidR="00000000" w:rsidRPr="00000000">
        <w:rPr>
          <w:rFonts w:ascii="Arial" w:cs="Arial" w:eastAsia="Arial" w:hAnsi="Arial"/>
          <w:b w:val="1"/>
          <w:sz w:val="16"/>
          <w:szCs w:val="16"/>
          <w:rtl w:val="0"/>
        </w:rPr>
        <w:t xml:space="preserve">Banca de Inversión</w:t>
      </w:r>
      <w:r w:rsidDel="00000000" w:rsidR="00000000" w:rsidRPr="00000000">
        <w:rPr>
          <w:rFonts w:ascii="Arial" w:cs="Arial" w:eastAsia="Arial" w:hAnsi="Arial"/>
          <w:sz w:val="16"/>
          <w:szCs w:val="16"/>
          <w:rtl w:val="0"/>
        </w:rPr>
        <w:t xml:space="preserve">. </w:t>
      </w:r>
      <w:hyperlink r:id="rId8">
        <w:r w:rsidDel="00000000" w:rsidR="00000000" w:rsidRPr="00000000">
          <w:rPr>
            <w:rFonts w:ascii="Arial" w:cs="Arial" w:eastAsia="Arial" w:hAnsi="Arial"/>
            <w:color w:val="0000ff"/>
            <w:sz w:val="16"/>
            <w:szCs w:val="16"/>
            <w:u w:val="single"/>
            <w:rtl w:val="0"/>
          </w:rPr>
          <w:t xml:space="preserve">www.afirme.com</w:t>
        </w:r>
      </w:hyperlink>
      <w:r w:rsidDel="00000000" w:rsidR="00000000" w:rsidRPr="00000000">
        <w:rPr>
          <w:rtl w:val="0"/>
        </w:rPr>
      </w:r>
    </w:p>
    <w:p w:rsidR="00000000" w:rsidDel="00000000" w:rsidP="00000000" w:rsidRDefault="00000000" w:rsidRPr="00000000" w14:paraId="00000012">
      <w:pPr>
        <w:spacing w:after="120" w:line="240" w:lineRule="auto"/>
        <w:jc w:val="both"/>
        <w:rPr>
          <w:rFonts w:ascii="Arial" w:cs="Arial" w:eastAsia="Arial" w:hAnsi="Arial"/>
          <w:b w:val="1"/>
          <w:color w:val="373737"/>
          <w:sz w:val="16"/>
          <w:szCs w:val="16"/>
          <w:highlight w:val="white"/>
        </w:rPr>
      </w:pPr>
      <w:r w:rsidDel="00000000" w:rsidR="00000000" w:rsidRPr="00000000">
        <w:rPr>
          <w:rtl w:val="0"/>
        </w:rPr>
      </w:r>
    </w:p>
    <w:p w:rsidR="00000000" w:rsidDel="00000000" w:rsidP="00000000" w:rsidRDefault="00000000" w:rsidRPr="00000000" w14:paraId="00000013">
      <w:pPr>
        <w:spacing w:after="120" w:line="240" w:lineRule="auto"/>
        <w:jc w:val="both"/>
        <w:rPr>
          <w:rFonts w:ascii="Arial" w:cs="Arial" w:eastAsia="Arial" w:hAnsi="Arial"/>
          <w:b w:val="1"/>
          <w:color w:val="373737"/>
          <w:sz w:val="16"/>
          <w:szCs w:val="16"/>
          <w:highlight w:val="white"/>
        </w:rPr>
      </w:pPr>
      <w:r w:rsidDel="00000000" w:rsidR="00000000" w:rsidRPr="00000000">
        <w:rPr>
          <w:rFonts w:ascii="Arial" w:cs="Arial" w:eastAsia="Arial" w:hAnsi="Arial"/>
          <w:b w:val="1"/>
          <w:color w:val="373737"/>
          <w:sz w:val="16"/>
          <w:szCs w:val="16"/>
          <w:highlight w:val="white"/>
          <w:rtl w:val="0"/>
        </w:rPr>
        <w:t xml:space="preserve">Acerca de Clara </w:t>
      </w:r>
    </w:p>
    <w:p w:rsidR="00000000" w:rsidDel="00000000" w:rsidP="00000000" w:rsidRDefault="00000000" w:rsidRPr="00000000" w14:paraId="00000014">
      <w:pPr>
        <w:spacing w:after="120" w:line="240" w:lineRule="auto"/>
        <w:jc w:val="both"/>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highlight w:val="white"/>
          <w:rtl w:val="0"/>
        </w:rPr>
        <w:t xml:space="preserve">Clara es la plataforma líder de control de gastos para empresas en Latinoamérica. Nuestras soluciones de financiamiento integral, que incluyen tarjetas corporativas emitidas localmente, un producto de pago y un software de gestión de gasto, ya son utilizadas por miles de las empresas más exitosas en la región. Clara cuenta con el respaldo de los líderes de inversión más importantes a nivel regional y global; tales como Coatue, DST Partners, General Catalyst, monashees, Kaszek, Canary, A*, BoxGroup, SV Angel, GFC, Picus Capital, Avid Ventures, ICONIQ Growth, Goldman Sachs, y reconocidos inversionistas ángeles. Para conocer más, ingresa a clara.com</w:t>
      </w:r>
    </w:p>
    <w:p w:rsidR="00000000" w:rsidDel="00000000" w:rsidP="00000000" w:rsidRDefault="00000000" w:rsidRPr="00000000" w14:paraId="00000015">
      <w:pPr>
        <w:spacing w:after="120" w:line="240" w:lineRule="auto"/>
        <w:jc w:val="both"/>
        <w:rPr>
          <w:rFonts w:ascii="Arial" w:cs="Arial" w:eastAsia="Arial" w:hAnsi="Arial"/>
          <w:color w:val="373737"/>
          <w:sz w:val="16"/>
          <w:szCs w:val="16"/>
          <w:highlight w:val="white"/>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Contactos de Prensa</w:t>
      </w:r>
    </w:p>
    <w:p w:rsidR="00000000" w:rsidDel="00000000" w:rsidP="00000000" w:rsidRDefault="00000000" w:rsidRPr="00000000" w14:paraId="00000017">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Tufic Yutani</w:t>
      </w:r>
    </w:p>
    <w:p w:rsidR="00000000" w:rsidDel="00000000" w:rsidP="00000000" w:rsidRDefault="00000000" w:rsidRPr="00000000" w14:paraId="00000019">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Comunicación Corporativa</w:t>
      </w:r>
    </w:p>
    <w:p w:rsidR="00000000" w:rsidDel="00000000" w:rsidP="00000000" w:rsidRDefault="00000000" w:rsidRPr="00000000" w14:paraId="0000001A">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Afirme Grupo Financiero</w:t>
      </w:r>
    </w:p>
    <w:p w:rsidR="00000000" w:rsidDel="00000000" w:rsidP="00000000" w:rsidRDefault="00000000" w:rsidRPr="00000000" w14:paraId="0000001B">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Tel. (81) 8319 39 00   Ext. 27328</w:t>
      </w:r>
    </w:p>
    <w:p w:rsidR="00000000" w:rsidDel="00000000" w:rsidP="00000000" w:rsidRDefault="00000000" w:rsidRPr="00000000" w14:paraId="0000001C">
      <w:pPr>
        <w:spacing w:after="0" w:line="240" w:lineRule="auto"/>
        <w:jc w:val="both"/>
        <w:rPr>
          <w:rFonts w:ascii="Arial" w:cs="Arial" w:eastAsia="Arial" w:hAnsi="Arial"/>
          <w:color w:val="0000ff"/>
          <w:sz w:val="18"/>
          <w:szCs w:val="18"/>
          <w:u w:val="single"/>
        </w:rPr>
      </w:pPr>
      <w:hyperlink r:id="rId9">
        <w:r w:rsidDel="00000000" w:rsidR="00000000" w:rsidRPr="00000000">
          <w:rPr>
            <w:rFonts w:ascii="Arial" w:cs="Arial" w:eastAsia="Arial" w:hAnsi="Arial"/>
            <w:color w:val="0000ff"/>
            <w:sz w:val="18"/>
            <w:szCs w:val="18"/>
            <w:u w:val="single"/>
            <w:rtl w:val="0"/>
          </w:rPr>
          <w:t xml:space="preserve">tufic.yutani@afirme.com</w:t>
        </w:r>
      </w:hyperlink>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Maximiliano Cervantes </w:t>
      </w:r>
    </w:p>
    <w:p w:rsidR="00000000" w:rsidDel="00000000" w:rsidP="00000000" w:rsidRDefault="00000000" w:rsidRPr="00000000" w14:paraId="0000001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Relaciones Públicas </w:t>
      </w:r>
    </w:p>
    <w:p w:rsidR="00000000" w:rsidDel="00000000" w:rsidP="00000000" w:rsidRDefault="00000000" w:rsidRPr="00000000" w14:paraId="0000002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Clara</w:t>
      </w:r>
    </w:p>
    <w:p w:rsidR="00000000" w:rsidDel="00000000" w:rsidP="00000000" w:rsidRDefault="00000000" w:rsidRPr="00000000" w14:paraId="0000002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Tel. 5545816384</w:t>
      </w:r>
    </w:p>
    <w:p w:rsidR="00000000" w:rsidDel="00000000" w:rsidP="00000000" w:rsidRDefault="00000000" w:rsidRPr="00000000" w14:paraId="00000022">
      <w:pPr>
        <w:spacing w:after="0" w:line="240" w:lineRule="auto"/>
        <w:rPr>
          <w:rFonts w:ascii="Arial" w:cs="Arial" w:eastAsia="Arial" w:hAnsi="Arial"/>
          <w:sz w:val="18"/>
          <w:szCs w:val="18"/>
        </w:rPr>
      </w:pPr>
      <w:hyperlink r:id="rId10">
        <w:r w:rsidDel="00000000" w:rsidR="00000000" w:rsidRPr="00000000">
          <w:rPr>
            <w:rFonts w:ascii="Arial" w:cs="Arial" w:eastAsia="Arial" w:hAnsi="Arial"/>
            <w:color w:val="0000ff"/>
            <w:sz w:val="18"/>
            <w:szCs w:val="18"/>
            <w:u w:val="single"/>
            <w:rtl w:val="0"/>
          </w:rPr>
          <w:t xml:space="preserve">maximiliano.cervantes@clara.team</w:t>
        </w:r>
      </w:hyperlink>
      <w:r w:rsidDel="00000000" w:rsidR="00000000" w:rsidRPr="00000000">
        <w:rPr>
          <w:rtl w:val="0"/>
        </w:rPr>
      </w:r>
    </w:p>
    <w:sectPr>
      <w:headerReference r:id="rId11" w:type="default"/>
      <w:footerReference r:id="rId12" w:type="default"/>
      <w:footerReference r:id="rId13" w:type="first"/>
      <w:footerReference r:id="rId14"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1473200</wp:posOffset>
              </wp:positionH>
              <wp:positionV relativeFrom="paragraph">
                <wp:posOffset>0</wp:posOffset>
              </wp:positionV>
              <wp:extent cx="472440" cy="472440"/>
              <wp:effectExtent b="0" l="0" r="0" t="0"/>
              <wp:wrapNone/>
              <wp:docPr descr="Public" id="19"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1473200</wp:posOffset>
              </wp:positionH>
              <wp:positionV relativeFrom="paragraph">
                <wp:posOffset>0</wp:posOffset>
              </wp:positionV>
              <wp:extent cx="472440" cy="472440"/>
              <wp:effectExtent b="0" l="0" r="0" t="0"/>
              <wp:wrapNone/>
              <wp:docPr descr="Public" id="19" name="image4.png"/>
              <a:graphic>
                <a:graphicData uri="http://schemas.openxmlformats.org/drawingml/2006/picture">
                  <pic:pic>
                    <pic:nvPicPr>
                      <pic:cNvPr descr="Public" id="0" name="image4.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1473200</wp:posOffset>
              </wp:positionH>
              <wp:positionV relativeFrom="paragraph">
                <wp:posOffset>0</wp:posOffset>
              </wp:positionV>
              <wp:extent cx="472440" cy="472440"/>
              <wp:effectExtent b="0" l="0" r="0" t="0"/>
              <wp:wrapNone/>
              <wp:docPr descr="Public" id="20"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1473200</wp:posOffset>
              </wp:positionH>
              <wp:positionV relativeFrom="paragraph">
                <wp:posOffset>0</wp:posOffset>
              </wp:positionV>
              <wp:extent cx="472440" cy="472440"/>
              <wp:effectExtent b="0" l="0" r="0" t="0"/>
              <wp:wrapNone/>
              <wp:docPr descr="Public" id="20" name="image5.png"/>
              <a:graphic>
                <a:graphicData uri="http://schemas.openxmlformats.org/drawingml/2006/picture">
                  <pic:pic>
                    <pic:nvPicPr>
                      <pic:cNvPr descr="Public" id="0" name="image5.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1473200</wp:posOffset>
              </wp:positionH>
              <wp:positionV relativeFrom="paragraph">
                <wp:posOffset>0</wp:posOffset>
              </wp:positionV>
              <wp:extent cx="472440" cy="472440"/>
              <wp:effectExtent b="0" l="0" r="0" t="0"/>
              <wp:wrapNone/>
              <wp:docPr descr="Public" id="18"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1473200</wp:posOffset>
              </wp:positionH>
              <wp:positionV relativeFrom="paragraph">
                <wp:posOffset>0</wp:posOffset>
              </wp:positionV>
              <wp:extent cx="472440" cy="472440"/>
              <wp:effectExtent b="0" l="0" r="0" t="0"/>
              <wp:wrapNone/>
              <wp:docPr descr="Public" id="18" name="image3.png"/>
              <a:graphic>
                <a:graphicData uri="http://schemas.openxmlformats.org/drawingml/2006/picture">
                  <pic:pic>
                    <pic:nvPicPr>
                      <pic:cNvPr descr="Public" id="0" name="image3.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-90167</wp:posOffset>
          </wp:positionH>
          <wp:positionV relativeFrom="paragraph">
            <wp:posOffset>-130171</wp:posOffset>
          </wp:positionV>
          <wp:extent cx="1677035" cy="400050"/>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7035" cy="4000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3840480</wp:posOffset>
          </wp:positionH>
          <wp:positionV relativeFrom="paragraph">
            <wp:posOffset>-133346</wp:posOffset>
          </wp:positionV>
          <wp:extent cx="1773617" cy="539011"/>
          <wp:effectExtent b="0" l="0" r="0" t="0"/>
          <wp:wrapNone/>
          <wp:docPr id="2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73617" cy="539011"/>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419"/>
        <w:tab w:val="right" w:leader="none" w:pos="8838"/>
        <w:tab w:val="left" w:leader="none" w:pos="3270"/>
      </w:tabs>
      <w:spacing w:after="0" w:line="240" w:lineRule="auto"/>
      <w:rPr>
        <w:color w:val="000000"/>
      </w:rPr>
    </w:pPr>
    <w:r w:rsidDel="00000000" w:rsidR="00000000" w:rsidRPr="00000000">
      <w:rPr>
        <w:color w:val="000000"/>
        <w:rtl w:val="0"/>
      </w:rPr>
      <w:tab/>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79CA"/>
    <w:rPr>
      <w:lang w:val="es-MX"/>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character" w:styleId="Hipervnculo">
    <w:name w:val="Hyperlink"/>
    <w:basedOn w:val="Fuentedeprrafopredeter"/>
    <w:uiPriority w:val="99"/>
    <w:unhideWhenUsed w:val="1"/>
    <w:rsid w:val="004679CA"/>
    <w:rPr>
      <w:color w:val="0000ff"/>
      <w:u w:val="single"/>
    </w:rPr>
  </w:style>
  <w:style w:type="character" w:styleId="Refdecomentario">
    <w:name w:val="annotation reference"/>
    <w:basedOn w:val="Fuentedeprrafopredeter"/>
    <w:uiPriority w:val="99"/>
    <w:semiHidden w:val="1"/>
    <w:unhideWhenUsed w:val="1"/>
    <w:rsid w:val="004679CA"/>
    <w:rPr>
      <w:sz w:val="16"/>
      <w:szCs w:val="16"/>
    </w:rPr>
  </w:style>
  <w:style w:type="paragraph" w:styleId="Textocomentario">
    <w:name w:val="annotation text"/>
    <w:basedOn w:val="Normal"/>
    <w:link w:val="TextocomentarioCar"/>
    <w:uiPriority w:val="99"/>
    <w:unhideWhenUsed w:val="1"/>
    <w:rsid w:val="004679CA"/>
    <w:pPr>
      <w:spacing w:line="240" w:lineRule="auto"/>
    </w:pPr>
    <w:rPr>
      <w:sz w:val="20"/>
      <w:szCs w:val="20"/>
    </w:rPr>
  </w:style>
  <w:style w:type="character" w:styleId="TextocomentarioCar" w:customStyle="1">
    <w:name w:val="Texto comentario Car"/>
    <w:basedOn w:val="Fuentedeprrafopredeter"/>
    <w:link w:val="Textocomentario"/>
    <w:uiPriority w:val="99"/>
    <w:rsid w:val="004679CA"/>
    <w:rPr>
      <w:sz w:val="20"/>
      <w:szCs w:val="20"/>
      <w:lang w:val="es-MX"/>
    </w:rPr>
  </w:style>
  <w:style w:type="paragraph" w:styleId="Piedepgina">
    <w:name w:val="footer"/>
    <w:basedOn w:val="Normal"/>
    <w:link w:val="PiedepginaCar"/>
    <w:uiPriority w:val="99"/>
    <w:unhideWhenUsed w:val="1"/>
    <w:rsid w:val="004679CA"/>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4679CA"/>
    <w:rPr>
      <w:lang w:val="es-MX"/>
    </w:rPr>
  </w:style>
  <w:style w:type="character" w:styleId="xn-person" w:customStyle="1">
    <w:name w:val="xn-person"/>
    <w:basedOn w:val="Fuentedeprrafopredeter"/>
    <w:rsid w:val="004679CA"/>
  </w:style>
  <w:style w:type="character" w:styleId="xn-location" w:customStyle="1">
    <w:name w:val="xn-location"/>
    <w:basedOn w:val="Fuentedeprrafopredeter"/>
    <w:rsid w:val="004679CA"/>
  </w:style>
  <w:style w:type="paragraph" w:styleId="HTMLconformatoprevio">
    <w:name w:val="HTML Preformatted"/>
    <w:basedOn w:val="Normal"/>
    <w:link w:val="HTMLconformatoprevioCar"/>
    <w:uiPriority w:val="99"/>
    <w:semiHidden w:val="1"/>
    <w:unhideWhenUsed w:val="1"/>
    <w:rsid w:val="0046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val="en-US"/>
    </w:rPr>
  </w:style>
  <w:style w:type="character" w:styleId="HTMLconformatoprevioCar" w:customStyle="1">
    <w:name w:val="HTML con formato previo Car"/>
    <w:basedOn w:val="Fuentedeprrafopredeter"/>
    <w:link w:val="HTMLconformatoprevio"/>
    <w:uiPriority w:val="99"/>
    <w:semiHidden w:val="1"/>
    <w:rsid w:val="004679CA"/>
    <w:rPr>
      <w:rFonts w:ascii="Courier New" w:cs="Courier New" w:eastAsia="Times New Roman" w:hAnsi="Courier New"/>
      <w:sz w:val="20"/>
      <w:szCs w:val="20"/>
    </w:rPr>
  </w:style>
  <w:style w:type="character" w:styleId="y2iqfc" w:customStyle="1">
    <w:name w:val="y2iqfc"/>
    <w:basedOn w:val="Fuentedeprrafopredeter"/>
    <w:rsid w:val="004679CA"/>
  </w:style>
  <w:style w:type="paragraph" w:styleId="byline" w:customStyle="1">
    <w:name w:val="byline"/>
    <w:basedOn w:val="Normal"/>
    <w:rsid w:val="004C5FE7"/>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Asuntodelcomentario">
    <w:name w:val="annotation subject"/>
    <w:basedOn w:val="Textocomentario"/>
    <w:next w:val="Textocomentario"/>
    <w:link w:val="AsuntodelcomentarioCar"/>
    <w:uiPriority w:val="99"/>
    <w:semiHidden w:val="1"/>
    <w:unhideWhenUsed w:val="1"/>
    <w:rsid w:val="00954D36"/>
    <w:rPr>
      <w:b w:val="1"/>
      <w:bCs w:val="1"/>
    </w:rPr>
  </w:style>
  <w:style w:type="character" w:styleId="AsuntodelcomentarioCar" w:customStyle="1">
    <w:name w:val="Asunto del comentario Car"/>
    <w:basedOn w:val="TextocomentarioCar"/>
    <w:link w:val="Asuntodelcomentario"/>
    <w:uiPriority w:val="99"/>
    <w:semiHidden w:val="1"/>
    <w:rsid w:val="00954D36"/>
    <w:rPr>
      <w:b w:val="1"/>
      <w:bCs w:val="1"/>
      <w:sz w:val="20"/>
      <w:szCs w:val="20"/>
      <w:lang w:val="es-MX"/>
    </w:rPr>
  </w:style>
  <w:style w:type="paragraph" w:styleId="Textodeglobo">
    <w:name w:val="Balloon Text"/>
    <w:basedOn w:val="Normal"/>
    <w:link w:val="TextodegloboCar"/>
    <w:uiPriority w:val="99"/>
    <w:semiHidden w:val="1"/>
    <w:unhideWhenUsed w:val="1"/>
    <w:rsid w:val="00954D36"/>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54D36"/>
    <w:rPr>
      <w:rFonts w:ascii="Segoe UI" w:cs="Segoe UI" w:hAnsi="Segoe UI"/>
      <w:sz w:val="18"/>
      <w:szCs w:val="18"/>
      <w:lang w:val="es-MX"/>
    </w:rPr>
  </w:style>
  <w:style w:type="paragraph" w:styleId="Prrafodelista">
    <w:name w:val="List Paragraph"/>
    <w:basedOn w:val="Normal"/>
    <w:uiPriority w:val="34"/>
    <w:qFormat w:val="1"/>
    <w:rsid w:val="003658A5"/>
    <w:pPr>
      <w:ind w:left="720"/>
      <w:contextualSpacing w:val="1"/>
    </w:pPr>
  </w:style>
  <w:style w:type="paragraph" w:styleId="Encabezado">
    <w:name w:val="header"/>
    <w:basedOn w:val="Normal"/>
    <w:link w:val="EncabezadoCar"/>
    <w:uiPriority w:val="99"/>
    <w:unhideWhenUsed w:val="1"/>
    <w:rsid w:val="009E2BF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E2BFD"/>
    <w:rPr>
      <w:lang w:val="es-MX"/>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maximiliano.cervantes@clara.team" TargetMode="Externa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rge.guevara@aexp.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ubs.ly/Q01G7FdS0" TargetMode="External"/><Relationship Id="rId8" Type="http://schemas.openxmlformats.org/officeDocument/2006/relationships/hyperlink" Target="http://www.afirm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bHp89zhoRqXNSe6mk6O1e/X5jw==">AMUW2mVQ02XKjmnM4bEMsaf8Iv0laJY2LV85Sh0GQWU4zMh0+S1/6oEfYD/Hd3Oi6SN8+luy8/BVTUx4NB3WDP62sTh0UuEq9R6X8oW8m8GpHojWAEW4gYcPsr/NnP+gHX02DMOtsmkNheYblG9BXPnVguLfHA7AoA==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2023-03-16T19:40:00Z</dcterms:created>
  <dc:creator>Patty Tobon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ies>
</file>